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F4EB2" w14:textId="77777777" w:rsidR="00CA6BBE" w:rsidRDefault="006C6AB4">
      <w:pPr>
        <w:spacing w:line="276" w:lineRule="auto"/>
        <w:rPr>
          <w:sz w:val="20"/>
          <w:szCs w:val="22"/>
        </w:rPr>
      </w:pPr>
      <w:r>
        <w:rPr>
          <w:sz w:val="20"/>
          <w:szCs w:val="22"/>
        </w:rPr>
        <w:t xml:space="preserve">An der Tübingen School of Education (TüSE) ist zum nächstmöglichen Zeitpunkt eine Stelle als </w:t>
      </w:r>
    </w:p>
    <w:p w14:paraId="609AC712" w14:textId="77777777" w:rsidR="00CA6BBE" w:rsidRDefault="006C6AB4">
      <w:pPr>
        <w:spacing w:line="300" w:lineRule="atLeast"/>
        <w:jc w:val="center"/>
        <w:outlineLvl w:val="0"/>
        <w:rPr>
          <w:rFonts w:eastAsia="Times New Roman" w:cs="Arial"/>
          <w:b/>
          <w:bCs/>
          <w:color w:val="32414B"/>
          <w:kern w:val="36"/>
          <w:sz w:val="36"/>
          <w:szCs w:val="36"/>
          <w:lang w:eastAsia="de-DE"/>
        </w:rPr>
      </w:pPr>
      <w:r>
        <w:rPr>
          <w:rFonts w:eastAsia="Times New Roman" w:cs="Arial"/>
          <w:b/>
          <w:bCs/>
          <w:color w:val="32414B"/>
          <w:kern w:val="36"/>
          <w:sz w:val="36"/>
          <w:szCs w:val="36"/>
          <w:lang w:eastAsia="de-DE"/>
        </w:rPr>
        <w:t>Verwaltungsangestellte*r</w:t>
      </w:r>
      <w:r>
        <w:rPr>
          <w:rFonts w:eastAsia="Times New Roman" w:cs="Arial"/>
          <w:color w:val="000000" w:themeColor="text1"/>
          <w:sz w:val="36"/>
          <w:szCs w:val="36"/>
          <w:lang w:eastAsia="de-DE"/>
        </w:rPr>
        <w:t xml:space="preserve"> </w:t>
      </w:r>
      <w:r>
        <w:rPr>
          <w:rFonts w:eastAsia="Times New Roman" w:cs="Arial"/>
          <w:b/>
          <w:bCs/>
          <w:color w:val="32414B"/>
          <w:kern w:val="36"/>
          <w:sz w:val="36"/>
          <w:szCs w:val="36"/>
          <w:lang w:eastAsia="de-DE"/>
        </w:rPr>
        <w:t>in der Geschäftsstelle</w:t>
      </w:r>
    </w:p>
    <w:p w14:paraId="2CD3F786" w14:textId="77777777" w:rsidR="00CA6BBE" w:rsidRDefault="006C6AB4">
      <w:pPr>
        <w:spacing w:line="300" w:lineRule="atLeast"/>
        <w:jc w:val="center"/>
        <w:outlineLvl w:val="0"/>
        <w:rPr>
          <w:rFonts w:eastAsia="Times New Roman" w:cs="Arial"/>
          <w:b/>
          <w:bCs/>
          <w:color w:val="32414B"/>
          <w:kern w:val="36"/>
          <w:sz w:val="36"/>
          <w:szCs w:val="36"/>
          <w:lang w:eastAsia="de-DE"/>
        </w:rPr>
      </w:pPr>
      <w:r>
        <w:rPr>
          <w:rFonts w:eastAsia="Times New Roman" w:cs="Arial"/>
          <w:b/>
          <w:bCs/>
          <w:color w:val="32414B"/>
          <w:kern w:val="36"/>
          <w:sz w:val="36"/>
          <w:szCs w:val="36"/>
          <w:lang w:eastAsia="de-DE"/>
        </w:rPr>
        <w:t>(m/w/d, E 9b TV-L, 80% - ab Sept. 2025 100%)</w:t>
      </w:r>
    </w:p>
    <w:p w14:paraId="5ACB9E6E" w14:textId="77777777" w:rsidR="00CA6BBE" w:rsidRDefault="006C6AB4">
      <w:pPr>
        <w:spacing w:before="100" w:beforeAutospacing="1" w:after="100" w:afterAutospacing="1"/>
        <w:rPr>
          <w:rFonts w:eastAsia="Times New Roman" w:cs="Arial"/>
          <w:color w:val="000000" w:themeColor="text1"/>
          <w:sz w:val="20"/>
          <w:szCs w:val="20"/>
          <w:lang w:eastAsia="de-DE"/>
        </w:rPr>
      </w:pPr>
      <w:r>
        <w:rPr>
          <w:rFonts w:eastAsia="Times New Roman" w:cs="Arial"/>
          <w:b/>
          <w:bCs/>
          <w:color w:val="000000" w:themeColor="text1"/>
          <w:sz w:val="20"/>
          <w:szCs w:val="20"/>
          <w:lang w:eastAsia="de-DE"/>
        </w:rPr>
        <w:t xml:space="preserve">unbefristet </w:t>
      </w:r>
      <w:r>
        <w:rPr>
          <w:rFonts w:eastAsia="Times New Roman" w:cs="Arial"/>
          <w:color w:val="000000" w:themeColor="text1"/>
          <w:sz w:val="20"/>
          <w:szCs w:val="20"/>
          <w:lang w:eastAsia="de-DE"/>
        </w:rPr>
        <w:t xml:space="preserve">zu besetzen. </w:t>
      </w:r>
    </w:p>
    <w:p w14:paraId="5089B821" w14:textId="3B88824F" w:rsidR="00CA6BBE" w:rsidRDefault="006C6AB4">
      <w:pPr>
        <w:spacing w:line="276" w:lineRule="auto"/>
        <w:rPr>
          <w:sz w:val="20"/>
          <w:szCs w:val="20"/>
        </w:rPr>
      </w:pPr>
      <w:r>
        <w:rPr>
          <w:sz w:val="20"/>
          <w:szCs w:val="20"/>
        </w:rPr>
        <w:t xml:space="preserve">Die Stelleninhaberin bzw. der Stelleninhaber koordiniert </w:t>
      </w:r>
      <w:r w:rsidR="00461101">
        <w:rPr>
          <w:sz w:val="20"/>
          <w:szCs w:val="20"/>
        </w:rPr>
        <w:t xml:space="preserve">die Geschäftsabläufe der Tübingen School </w:t>
      </w:r>
      <w:proofErr w:type="spellStart"/>
      <w:r w:rsidR="00461101">
        <w:rPr>
          <w:sz w:val="20"/>
          <w:szCs w:val="20"/>
        </w:rPr>
        <w:t>of</w:t>
      </w:r>
      <w:proofErr w:type="spellEnd"/>
      <w:r w:rsidR="00461101">
        <w:rPr>
          <w:sz w:val="20"/>
          <w:szCs w:val="20"/>
        </w:rPr>
        <w:t xml:space="preserve"> Education </w:t>
      </w:r>
      <w:r>
        <w:rPr>
          <w:sz w:val="20"/>
          <w:szCs w:val="20"/>
        </w:rPr>
        <w:t xml:space="preserve">und ist verantwortlich für alle in der Geschäftsstelle anfallenden administrativen Aufgaben. </w:t>
      </w:r>
    </w:p>
    <w:p w14:paraId="31667389" w14:textId="7E3A5A4D" w:rsidR="00631E97" w:rsidRDefault="00461101">
      <w:pPr>
        <w:spacing w:before="120" w:after="120" w:line="276" w:lineRule="auto"/>
        <w:rPr>
          <w:rFonts w:cs="Arial"/>
          <w:snapToGrid w:val="0"/>
          <w:sz w:val="20"/>
          <w:szCs w:val="20"/>
        </w:rPr>
      </w:pPr>
      <w:r>
        <w:rPr>
          <w:sz w:val="20"/>
        </w:rPr>
        <w:t xml:space="preserve">Zentrale Aufgabenfelder der Stelle sind die eigenverantwortliche Buchführung, Kalkulation- und Finanzplanung sowie das Controlling der von der TüSE zu verwaltenden Haushalts- und Drittmittel, </w:t>
      </w:r>
      <w:r w:rsidR="006C6AB4">
        <w:rPr>
          <w:rFonts w:cs="Arial"/>
          <w:snapToGrid w:val="0"/>
          <w:sz w:val="20"/>
          <w:szCs w:val="20"/>
        </w:rPr>
        <w:t xml:space="preserve">die Personalverwaltung in Abstimmung mit der Zentralen Verwaltung, die Organisation </w:t>
      </w:r>
      <w:r w:rsidR="00631E97">
        <w:rPr>
          <w:rFonts w:cs="Arial"/>
          <w:snapToGrid w:val="0"/>
          <w:sz w:val="20"/>
          <w:szCs w:val="20"/>
        </w:rPr>
        <w:t xml:space="preserve">und die inhaltliche Vor- und Nachbereitung </w:t>
      </w:r>
      <w:r w:rsidR="006C6AB4">
        <w:rPr>
          <w:rFonts w:cs="Arial"/>
          <w:snapToGrid w:val="0"/>
          <w:sz w:val="20"/>
          <w:szCs w:val="20"/>
        </w:rPr>
        <w:t>von Veranstaltungen und Gremiensitzungen, die inhaltliche Ausgestaltung und Pflege der Webseiten</w:t>
      </w:r>
      <w:r w:rsidR="00631E97" w:rsidRPr="00631E97">
        <w:t xml:space="preserve"> </w:t>
      </w:r>
      <w:r w:rsidR="00631E97" w:rsidRPr="00631E97">
        <w:rPr>
          <w:rFonts w:cs="Arial"/>
          <w:snapToGrid w:val="0"/>
          <w:sz w:val="20"/>
          <w:szCs w:val="20"/>
        </w:rPr>
        <w:t xml:space="preserve">sowie </w:t>
      </w:r>
      <w:r w:rsidR="00631E97">
        <w:rPr>
          <w:rFonts w:cs="Arial"/>
          <w:snapToGrid w:val="0"/>
          <w:sz w:val="20"/>
          <w:szCs w:val="20"/>
        </w:rPr>
        <w:t xml:space="preserve">der Aufbau und die Pflege der Datenbank zur Verwaltung der Mitglieder- und </w:t>
      </w:r>
      <w:proofErr w:type="spellStart"/>
      <w:r w:rsidR="00631E97">
        <w:rPr>
          <w:rFonts w:cs="Arial"/>
          <w:snapToGrid w:val="0"/>
          <w:sz w:val="20"/>
          <w:szCs w:val="20"/>
        </w:rPr>
        <w:t>Akteursdaten</w:t>
      </w:r>
      <w:proofErr w:type="spellEnd"/>
      <w:r w:rsidR="00631E97">
        <w:rPr>
          <w:rFonts w:cs="Arial"/>
          <w:snapToGrid w:val="0"/>
          <w:sz w:val="20"/>
          <w:szCs w:val="20"/>
        </w:rPr>
        <w:t xml:space="preserve"> im Customer-Relationship-Management System</w:t>
      </w:r>
      <w:r w:rsidR="006C6AB4">
        <w:rPr>
          <w:rFonts w:cs="Arial"/>
          <w:snapToGrid w:val="0"/>
          <w:sz w:val="20"/>
          <w:szCs w:val="20"/>
        </w:rPr>
        <w:t xml:space="preserve">. Mit der Stelle ist </w:t>
      </w:r>
      <w:r w:rsidR="00631E97">
        <w:rPr>
          <w:rFonts w:cs="Arial"/>
          <w:snapToGrid w:val="0"/>
          <w:sz w:val="20"/>
          <w:szCs w:val="20"/>
        </w:rPr>
        <w:t xml:space="preserve">darüber hinaus </w:t>
      </w:r>
      <w:r w:rsidR="006C6AB4">
        <w:rPr>
          <w:rFonts w:cs="Arial"/>
          <w:snapToGrid w:val="0"/>
          <w:sz w:val="20"/>
          <w:szCs w:val="20"/>
        </w:rPr>
        <w:t xml:space="preserve">die </w:t>
      </w:r>
      <w:r w:rsidR="00631E97">
        <w:rPr>
          <w:rFonts w:cs="Arial"/>
          <w:snapToGrid w:val="0"/>
          <w:sz w:val="20"/>
          <w:szCs w:val="20"/>
        </w:rPr>
        <w:t xml:space="preserve">eigenverantwortliche Übernahme der Hausvogtei des Geschäftsgebäudes </w:t>
      </w:r>
      <w:r w:rsidR="006C6AB4">
        <w:rPr>
          <w:rFonts w:cs="Arial"/>
          <w:snapToGrid w:val="0"/>
          <w:sz w:val="20"/>
          <w:szCs w:val="20"/>
        </w:rPr>
        <w:t xml:space="preserve">verbunden. Die Stelleninhaberin/der Stelleninhaber </w:t>
      </w:r>
      <w:r w:rsidR="00631E97">
        <w:rPr>
          <w:rFonts w:cs="Arial"/>
          <w:snapToGrid w:val="0"/>
          <w:sz w:val="20"/>
          <w:szCs w:val="20"/>
        </w:rPr>
        <w:t>übernimmt fachbezogene Recherchen</w:t>
      </w:r>
      <w:r w:rsidR="009F3C04">
        <w:rPr>
          <w:rFonts w:cs="Arial"/>
          <w:snapToGrid w:val="0"/>
          <w:sz w:val="20"/>
          <w:szCs w:val="20"/>
        </w:rPr>
        <w:t xml:space="preserve"> und entwirft </w:t>
      </w:r>
      <w:r w:rsidR="00631E97">
        <w:rPr>
          <w:rFonts w:cs="Arial"/>
          <w:snapToGrid w:val="0"/>
          <w:sz w:val="20"/>
          <w:szCs w:val="20"/>
        </w:rPr>
        <w:t>Text</w:t>
      </w:r>
      <w:r w:rsidR="009F3C04">
        <w:rPr>
          <w:rFonts w:cs="Arial"/>
          <w:snapToGrid w:val="0"/>
          <w:sz w:val="20"/>
          <w:szCs w:val="20"/>
        </w:rPr>
        <w:t xml:space="preserve">e und </w:t>
      </w:r>
      <w:r w:rsidR="00631E97">
        <w:rPr>
          <w:rFonts w:cs="Arial"/>
          <w:snapToGrid w:val="0"/>
          <w:sz w:val="20"/>
          <w:szCs w:val="20"/>
        </w:rPr>
        <w:t>Präsentationen</w:t>
      </w:r>
      <w:r w:rsidR="009F3C04">
        <w:rPr>
          <w:rFonts w:cs="Arial"/>
          <w:snapToGrid w:val="0"/>
          <w:sz w:val="20"/>
          <w:szCs w:val="20"/>
        </w:rPr>
        <w:t xml:space="preserve"> nach inhaltlichen Vorgaben.</w:t>
      </w:r>
      <w:r w:rsidR="00631E97">
        <w:rPr>
          <w:rFonts w:cs="Arial"/>
          <w:snapToGrid w:val="0"/>
          <w:sz w:val="20"/>
          <w:szCs w:val="20"/>
        </w:rPr>
        <w:t xml:space="preserve"> </w:t>
      </w:r>
    </w:p>
    <w:p w14:paraId="45181530" w14:textId="77777777" w:rsidR="00CA6BBE" w:rsidRDefault="006C6AB4">
      <w:pPr>
        <w:spacing w:before="120" w:after="120" w:line="276" w:lineRule="auto"/>
        <w:rPr>
          <w:rFonts w:cs="Arial"/>
          <w:snapToGrid w:val="0"/>
          <w:sz w:val="18"/>
          <w:szCs w:val="20"/>
        </w:rPr>
      </w:pPr>
      <w:r>
        <w:rPr>
          <w:sz w:val="20"/>
        </w:rPr>
        <w:t>Einstellungsvoraussetzung ist ein Bachelor oder Fachhochschulabschluss im Bereich Betriebswirtschaftslehre oder Pädagogik oder in einem affinen Studienfach. Berufserfahrung in der Universitätsverwaltung sind von Vorteil.</w:t>
      </w:r>
    </w:p>
    <w:p w14:paraId="47F1B4AB" w14:textId="6D5200F4" w:rsidR="00CA6BBE" w:rsidRDefault="006C6AB4">
      <w:pPr>
        <w:spacing w:before="120" w:after="120" w:line="276" w:lineRule="auto"/>
        <w:rPr>
          <w:rFonts w:cs="Arial"/>
          <w:snapToGrid w:val="0"/>
          <w:sz w:val="20"/>
          <w:szCs w:val="20"/>
        </w:rPr>
      </w:pPr>
      <w:r>
        <w:rPr>
          <w:rFonts w:cs="Arial"/>
          <w:snapToGrid w:val="0"/>
          <w:sz w:val="20"/>
          <w:szCs w:val="20"/>
        </w:rPr>
        <w:t>Erwartet werden selbst</w:t>
      </w:r>
      <w:r w:rsidR="009F3C04">
        <w:rPr>
          <w:rFonts w:cs="Arial"/>
          <w:snapToGrid w:val="0"/>
          <w:sz w:val="20"/>
          <w:szCs w:val="20"/>
        </w:rPr>
        <w:t>st</w:t>
      </w:r>
      <w:r>
        <w:rPr>
          <w:rFonts w:cs="Arial"/>
          <w:snapToGrid w:val="0"/>
          <w:sz w:val="20"/>
          <w:szCs w:val="20"/>
        </w:rPr>
        <w:t xml:space="preserve">ändiges und eigenverantwortliches Arbeiten, umsichtiges und vorausschauendes Denken, ausgeprägte Team- und Kommunikationsfähigkeit, versierter Umgang mit gängigen EDV-Programmen wie Word, Excel und Powerpoint sowie mit dem Content-Management-System TYPO3. Sehr gute Kommunikationsfähigkeit sowie gute Englischkenntnisse sind Voraussetzung. Wünschenswert sind darüber hinaus Kenntnisse in Bildbearbeitungsprogrammen wie z.B. Photoshop. </w:t>
      </w:r>
    </w:p>
    <w:p w14:paraId="1EACE2FC" w14:textId="77777777" w:rsidR="00CA6BBE" w:rsidRDefault="006C6AB4">
      <w:pPr>
        <w:widowControl w:val="0"/>
        <w:spacing w:after="120" w:line="276" w:lineRule="auto"/>
        <w:rPr>
          <w:rFonts w:cs="Arial"/>
          <w:snapToGrid w:val="0"/>
          <w:sz w:val="20"/>
          <w:szCs w:val="20"/>
        </w:rPr>
      </w:pPr>
      <w:r>
        <w:rPr>
          <w:rFonts w:cs="Arial"/>
          <w:snapToGrid w:val="0"/>
          <w:sz w:val="20"/>
          <w:szCs w:val="20"/>
        </w:rPr>
        <w:t xml:space="preserve">Die Tübingen School of Education (https://uni-tuebingen.de/de/75417) ist eine seit 2015 bestehende fakultätsübergreifende wissenschaftliche Einrichtung an der Universität Tübingen, die sich in den vergangenen Jahren dynamisch entwickelt hat. Wir kooperieren eng mit internen und externen Partnern in den Arbeitsbereichen Studium und Lehre/Studienberatung, Forschung und Nachwuchsförderung, Internationalisierung sowie Transfer. Unsere Arbeit zeichnet sich durch einen hohen Vernetzungsgrad und vielfältige Schnittstellen- und Querschnittsaufgaben aus. </w:t>
      </w:r>
    </w:p>
    <w:p w14:paraId="698C8F5F" w14:textId="77777777" w:rsidR="00CA6BBE" w:rsidRDefault="006C6AB4">
      <w:pPr>
        <w:widowControl w:val="0"/>
        <w:spacing w:after="120" w:line="276" w:lineRule="auto"/>
        <w:rPr>
          <w:sz w:val="20"/>
          <w:szCs w:val="20"/>
        </w:rPr>
      </w:pPr>
      <w:r>
        <w:rPr>
          <w:sz w:val="20"/>
          <w:szCs w:val="20"/>
        </w:rPr>
        <w:t>Tübingen ist eine idyllisch gelegene Universitätsstadt mit ca. 89.000 Einwohner*innen. Neben der geographischen Lage der Kreisstadt am Neckar wird Tübingen von Einwohner*innen und Tourist*innen überdies wegen seiner mittelalterlichen Altstadt und wegen seines reichhaltigen Kultur- und Bildungsangebotes geschätzt. Durch die gute verkehrstechnische Anbindung der Stadt und das weitver-zweigte ÖPNV-Netz ist Tübingen auch für Pendler*innen sehr gut erreichbar.</w:t>
      </w:r>
    </w:p>
    <w:p w14:paraId="506527B2" w14:textId="575C9D1F" w:rsidR="00CA6BBE" w:rsidRDefault="006C6AB4">
      <w:pPr>
        <w:spacing w:after="240" w:line="276" w:lineRule="auto"/>
        <w:rPr>
          <w:rFonts w:cs="Arial"/>
          <w:sz w:val="20"/>
          <w:szCs w:val="20"/>
        </w:rPr>
      </w:pPr>
      <w:r>
        <w:rPr>
          <w:sz w:val="20"/>
          <w:szCs w:val="20"/>
        </w:rPr>
        <w:t xml:space="preserve">Bewerbungen </w:t>
      </w:r>
      <w:r>
        <w:rPr>
          <w:rFonts w:cs="Arial"/>
          <w:sz w:val="20"/>
          <w:szCs w:val="20"/>
        </w:rPr>
        <w:t>mit den üblichen Unterlagen</w:t>
      </w:r>
      <w:r>
        <w:rPr>
          <w:sz w:val="20"/>
          <w:szCs w:val="20"/>
        </w:rPr>
        <w:t xml:space="preserve"> werden </w:t>
      </w:r>
      <w:r>
        <w:rPr>
          <w:color w:val="000000" w:themeColor="text1"/>
          <w:sz w:val="20"/>
          <w:szCs w:val="20"/>
        </w:rPr>
        <w:t xml:space="preserve">bis </w:t>
      </w:r>
      <w:r w:rsidR="00086F2C">
        <w:rPr>
          <w:color w:val="000000" w:themeColor="text1"/>
          <w:sz w:val="20"/>
          <w:szCs w:val="20"/>
        </w:rPr>
        <w:t>12.11</w:t>
      </w:r>
      <w:r>
        <w:rPr>
          <w:color w:val="000000" w:themeColor="text1"/>
          <w:sz w:val="20"/>
          <w:szCs w:val="20"/>
        </w:rPr>
        <w:t xml:space="preserve">.2024 </w:t>
      </w:r>
      <w:r>
        <w:rPr>
          <w:sz w:val="20"/>
          <w:szCs w:val="20"/>
        </w:rPr>
        <w:t xml:space="preserve">(in einer </w:t>
      </w:r>
      <w:proofErr w:type="spellStart"/>
      <w:r>
        <w:rPr>
          <w:sz w:val="20"/>
          <w:szCs w:val="20"/>
        </w:rPr>
        <w:t>pdf</w:t>
      </w:r>
      <w:proofErr w:type="spellEnd"/>
      <w:r>
        <w:rPr>
          <w:sz w:val="20"/>
          <w:szCs w:val="20"/>
        </w:rPr>
        <w:t>-Datei per E-Mail) erbeten an Prof. Dr. Thorsten Bohl (</w:t>
      </w:r>
      <w:r>
        <w:rPr>
          <w:rFonts w:cs="Arial"/>
          <w:sz w:val="20"/>
          <w:szCs w:val="20"/>
        </w:rPr>
        <w:t>info@tuese.uni-tuebingen.de), der auch für Rückfragen zur Verfügung steht.</w:t>
      </w:r>
      <w:bookmarkStart w:id="0" w:name="_GoBack"/>
      <w:bookmarkEnd w:id="0"/>
    </w:p>
    <w:p w14:paraId="53B0BEFD" w14:textId="77777777" w:rsidR="00CA6BBE" w:rsidRDefault="006C6AB4">
      <w:pPr>
        <w:spacing w:before="100" w:beforeAutospacing="1" w:after="100" w:afterAutospacing="1" w:line="276" w:lineRule="auto"/>
        <w:rPr>
          <w:rFonts w:cs="Arial"/>
          <w:snapToGrid w:val="0"/>
          <w:sz w:val="20"/>
          <w:szCs w:val="20"/>
        </w:rPr>
      </w:pPr>
      <w:r>
        <w:rPr>
          <w:rFonts w:eastAsia="Times New Roman" w:cs="Arial"/>
          <w:color w:val="000000" w:themeColor="text1"/>
          <w:sz w:val="20"/>
          <w:szCs w:val="20"/>
          <w:lang w:eastAsia="de-DE"/>
        </w:rPr>
        <w:t>Die Stelle ist grundsätzlich teilbar. Die Universität Tübingen setzt sich für die Ziele der Gleichstellung und Diversität ein und fördert aktiv Chancengleichheit. Schwerbehinderte werden bei gleicher Eignung bevorzugt eingestellt.</w:t>
      </w:r>
    </w:p>
    <w:p w14:paraId="3E9BDC42" w14:textId="77777777" w:rsidR="00CA6BBE" w:rsidRDefault="006C6AB4">
      <w:pPr>
        <w:spacing w:line="276" w:lineRule="auto"/>
        <w:rPr>
          <w:rFonts w:cs="Arial"/>
          <w:sz w:val="20"/>
          <w:szCs w:val="20"/>
        </w:rPr>
      </w:pPr>
      <w:r>
        <w:rPr>
          <w:rFonts w:cs="Arial"/>
          <w:sz w:val="20"/>
          <w:szCs w:val="20"/>
        </w:rPr>
        <w:t>Die Einstellung erfolgt durch die Zentrale Verwaltung.</w:t>
      </w:r>
    </w:p>
    <w:sectPr w:rsidR="00CA6BBE">
      <w:headerReference w:type="default" r:id="rId8"/>
      <w:pgSz w:w="11906" w:h="16838" w:code="9"/>
      <w:pgMar w:top="2835" w:right="1134" w:bottom="1134" w:left="1134"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C866D" w14:textId="77777777" w:rsidR="00CA6BBE" w:rsidRDefault="006C6AB4">
      <w:r>
        <w:separator/>
      </w:r>
    </w:p>
  </w:endnote>
  <w:endnote w:type="continuationSeparator" w:id="0">
    <w:p w14:paraId="26F864F8" w14:textId="77777777" w:rsidR="00CA6BBE" w:rsidRDefault="006C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91C51" w14:textId="77777777" w:rsidR="00CA6BBE" w:rsidRDefault="006C6AB4">
      <w:r>
        <w:separator/>
      </w:r>
    </w:p>
  </w:footnote>
  <w:footnote w:type="continuationSeparator" w:id="0">
    <w:p w14:paraId="783480D5" w14:textId="77777777" w:rsidR="00CA6BBE" w:rsidRDefault="006C6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AE6F" w14:textId="77777777" w:rsidR="00CA6BBE" w:rsidRDefault="00CA6BBE">
    <w:pPr>
      <w:pStyle w:val="EKUTFakultt"/>
      <w:framePr w:w="4546" w:h="1613" w:hRule="exact" w:wrap="around" w:vAnchor="text" w:hAnchor="page" w:x="6212" w:y="-278"/>
      <w:jc w:val="right"/>
    </w:pPr>
  </w:p>
  <w:p w14:paraId="0643DADA" w14:textId="77777777" w:rsidR="00CA6BBE" w:rsidRDefault="006C6AB4">
    <w:pPr>
      <w:pStyle w:val="EKUTFakultt"/>
      <w:framePr w:w="4546" w:h="1613" w:hRule="exact" w:wrap="around" w:vAnchor="text" w:hAnchor="page" w:x="6212" w:y="-278"/>
      <w:jc w:val="right"/>
      <w:rPr>
        <w:lang w:val="en-US"/>
      </w:rPr>
    </w:pPr>
    <w:r>
      <w:rPr>
        <w:lang w:val="en-US"/>
      </w:rPr>
      <w:t>Tübingen School of Education (TüSE)</w:t>
    </w:r>
  </w:p>
  <w:p w14:paraId="742FA0DA" w14:textId="77777777" w:rsidR="00CA6BBE" w:rsidRDefault="00CA6BBE">
    <w:pPr>
      <w:pStyle w:val="EKUTFakultt"/>
      <w:framePr w:w="4546" w:h="1613" w:hRule="exact" w:wrap="around" w:vAnchor="text" w:hAnchor="page" w:x="6212" w:y="-278"/>
      <w:jc w:val="right"/>
      <w:rPr>
        <w:noProof/>
        <w:lang w:val="en-US"/>
      </w:rPr>
    </w:pPr>
  </w:p>
  <w:p w14:paraId="623ACC38" w14:textId="77777777" w:rsidR="00CA6BBE" w:rsidRDefault="006C6AB4">
    <w:pPr>
      <w:pStyle w:val="Kopfzeile"/>
    </w:pPr>
    <w:r>
      <w:rPr>
        <w:rFonts w:eastAsia="Times New Roman" w:cs="Arial"/>
        <w:noProof/>
        <w:szCs w:val="22"/>
        <w:lang w:eastAsia="de-DE"/>
      </w:rPr>
      <w:drawing>
        <wp:inline distT="0" distB="0" distL="0" distR="0" wp14:anchorId="1E212A9B" wp14:editId="796C486F">
          <wp:extent cx="2771775" cy="723900"/>
          <wp:effectExtent l="0" t="0" r="9525" b="0"/>
          <wp:docPr id="1" name="Bild 5" descr="Beschreibung: UT_WBMW_Rot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UT_WBMW_Rot_RGB.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89F"/>
    <w:multiLevelType w:val="hybridMultilevel"/>
    <w:tmpl w:val="8CB22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6E27A5"/>
    <w:multiLevelType w:val="hybridMultilevel"/>
    <w:tmpl w:val="602290F2"/>
    <w:lvl w:ilvl="0" w:tplc="67C45B6A">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2A1D58"/>
    <w:multiLevelType w:val="hybridMultilevel"/>
    <w:tmpl w:val="CBB2F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835281"/>
    <w:multiLevelType w:val="hybridMultilevel"/>
    <w:tmpl w:val="E82A3DFE"/>
    <w:lvl w:ilvl="0" w:tplc="67C45B6A">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560775"/>
    <w:multiLevelType w:val="hybridMultilevel"/>
    <w:tmpl w:val="8B6C3FEE"/>
    <w:lvl w:ilvl="0" w:tplc="67C45B6A">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7B2EC6"/>
    <w:multiLevelType w:val="hybridMultilevel"/>
    <w:tmpl w:val="119270AE"/>
    <w:lvl w:ilvl="0" w:tplc="A3E4FA6E">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BBE"/>
    <w:rsid w:val="00086F2C"/>
    <w:rsid w:val="001A1AAE"/>
    <w:rsid w:val="00461101"/>
    <w:rsid w:val="00514060"/>
    <w:rsid w:val="0055465F"/>
    <w:rsid w:val="00631E97"/>
    <w:rsid w:val="006C6AB4"/>
    <w:rsid w:val="009F3C04"/>
    <w:rsid w:val="00CA6BBE"/>
    <w:rsid w:val="00CF6C00"/>
    <w:rsid w:val="00FF0A0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C63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line="320" w:lineRule="atLeast"/>
      <w:jc w:val="both"/>
    </w:pPr>
    <w:rPr>
      <w:rFonts w:ascii="Arial" w:hAnsi="Arial"/>
      <w:sz w:val="22"/>
      <w:szCs w:val="24"/>
      <w:lang w:eastAsia="ja-JP"/>
    </w:rPr>
  </w:style>
  <w:style w:type="paragraph" w:styleId="berschrift1">
    <w:name w:val="heading 1"/>
    <w:basedOn w:val="Standard"/>
    <w:next w:val="Standard"/>
    <w:qFormat/>
    <w:pPr>
      <w:keepNext/>
      <w:spacing w:before="240" w:after="60"/>
      <w:outlineLvl w:val="0"/>
    </w:pPr>
    <w:rPr>
      <w:rFonts w:cs="Arial"/>
      <w:b/>
      <w:bCs/>
      <w:kern w:val="32"/>
      <w:sz w:val="4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KUTFakultt">
    <w:name w:val="EKUT Fakultät"/>
    <w:basedOn w:val="Standard"/>
    <w:pPr>
      <w:tabs>
        <w:tab w:val="left" w:pos="7371"/>
      </w:tabs>
      <w:contextualSpacing/>
    </w:pPr>
    <w:rPr>
      <w:rFonts w:eastAsia="Times New Roman" w:cs="Arial"/>
      <w:b/>
      <w:color w:val="A51B38"/>
      <w:szCs w:val="20"/>
      <w:lang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uiPriority w:val="99"/>
    <w:unhideWhenUsed/>
    <w:rPr>
      <w:rFonts w:ascii="Times New Roman" w:hAnsi="Times New Roman" w:cs="Times New Roman" w:hint="default"/>
      <w:color w:val="0000FF"/>
      <w:u w:val="single"/>
    </w:rPr>
  </w:style>
  <w:style w:type="paragraph" w:customStyle="1" w:styleId="EKUTTextkrper">
    <w:name w:val="EKUT Textkörper"/>
    <w:uiPriority w:val="99"/>
    <w:pPr>
      <w:spacing w:line="260" w:lineRule="atLeast"/>
      <w:contextualSpacing/>
    </w:pPr>
    <w:rPr>
      <w:rFonts w:ascii="Arial" w:eastAsia="Times New Roman" w:hAnsi="Arial" w:cs="Arial"/>
      <w:sz w:val="22"/>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Pr>
      <w:rFonts w:ascii="Segoe UI" w:hAnsi="Segoe UI" w:cs="Segoe UI"/>
      <w:sz w:val="18"/>
      <w:szCs w:val="18"/>
      <w:lang w:eastAsia="ja-JP"/>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rFonts w:ascii="Arial" w:hAnsi="Arial"/>
      <w:lang w:eastAsia="ja-JP"/>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lang w:eastAsia="ja-JP"/>
    </w:rPr>
  </w:style>
  <w:style w:type="paragraph" w:styleId="berarbeitung">
    <w:name w:val="Revision"/>
    <w:hidden/>
    <w:uiPriority w:val="99"/>
    <w:semiHidden/>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8754">
      <w:bodyDiv w:val="1"/>
      <w:marLeft w:val="0"/>
      <w:marRight w:val="0"/>
      <w:marTop w:val="0"/>
      <w:marBottom w:val="0"/>
      <w:divBdr>
        <w:top w:val="none" w:sz="0" w:space="0" w:color="auto"/>
        <w:left w:val="none" w:sz="0" w:space="0" w:color="auto"/>
        <w:bottom w:val="none" w:sz="0" w:space="0" w:color="auto"/>
        <w:right w:val="none" w:sz="0" w:space="0" w:color="auto"/>
      </w:divBdr>
    </w:div>
    <w:div w:id="105851371">
      <w:bodyDiv w:val="1"/>
      <w:marLeft w:val="0"/>
      <w:marRight w:val="0"/>
      <w:marTop w:val="0"/>
      <w:marBottom w:val="0"/>
      <w:divBdr>
        <w:top w:val="none" w:sz="0" w:space="0" w:color="auto"/>
        <w:left w:val="none" w:sz="0" w:space="0" w:color="auto"/>
        <w:bottom w:val="none" w:sz="0" w:space="0" w:color="auto"/>
        <w:right w:val="none" w:sz="0" w:space="0" w:color="auto"/>
      </w:divBdr>
    </w:div>
    <w:div w:id="135536129">
      <w:bodyDiv w:val="1"/>
      <w:marLeft w:val="0"/>
      <w:marRight w:val="0"/>
      <w:marTop w:val="0"/>
      <w:marBottom w:val="0"/>
      <w:divBdr>
        <w:top w:val="none" w:sz="0" w:space="0" w:color="auto"/>
        <w:left w:val="none" w:sz="0" w:space="0" w:color="auto"/>
        <w:bottom w:val="none" w:sz="0" w:space="0" w:color="auto"/>
        <w:right w:val="none" w:sz="0" w:space="0" w:color="auto"/>
      </w:divBdr>
    </w:div>
    <w:div w:id="422385342">
      <w:bodyDiv w:val="1"/>
      <w:marLeft w:val="0"/>
      <w:marRight w:val="0"/>
      <w:marTop w:val="0"/>
      <w:marBottom w:val="0"/>
      <w:divBdr>
        <w:top w:val="none" w:sz="0" w:space="0" w:color="auto"/>
        <w:left w:val="none" w:sz="0" w:space="0" w:color="auto"/>
        <w:bottom w:val="none" w:sz="0" w:space="0" w:color="auto"/>
        <w:right w:val="none" w:sz="0" w:space="0" w:color="auto"/>
      </w:divBdr>
    </w:div>
    <w:div w:id="429468930">
      <w:bodyDiv w:val="1"/>
      <w:marLeft w:val="0"/>
      <w:marRight w:val="0"/>
      <w:marTop w:val="0"/>
      <w:marBottom w:val="0"/>
      <w:divBdr>
        <w:top w:val="none" w:sz="0" w:space="0" w:color="auto"/>
        <w:left w:val="none" w:sz="0" w:space="0" w:color="auto"/>
        <w:bottom w:val="none" w:sz="0" w:space="0" w:color="auto"/>
        <w:right w:val="none" w:sz="0" w:space="0" w:color="auto"/>
      </w:divBdr>
    </w:div>
    <w:div w:id="519860203">
      <w:bodyDiv w:val="1"/>
      <w:marLeft w:val="0"/>
      <w:marRight w:val="0"/>
      <w:marTop w:val="0"/>
      <w:marBottom w:val="0"/>
      <w:divBdr>
        <w:top w:val="none" w:sz="0" w:space="0" w:color="auto"/>
        <w:left w:val="none" w:sz="0" w:space="0" w:color="auto"/>
        <w:bottom w:val="none" w:sz="0" w:space="0" w:color="auto"/>
        <w:right w:val="none" w:sz="0" w:space="0" w:color="auto"/>
      </w:divBdr>
    </w:div>
    <w:div w:id="1329092374">
      <w:bodyDiv w:val="1"/>
      <w:marLeft w:val="0"/>
      <w:marRight w:val="0"/>
      <w:marTop w:val="0"/>
      <w:marBottom w:val="0"/>
      <w:divBdr>
        <w:top w:val="none" w:sz="0" w:space="0" w:color="auto"/>
        <w:left w:val="none" w:sz="0" w:space="0" w:color="auto"/>
        <w:bottom w:val="none" w:sz="0" w:space="0" w:color="auto"/>
        <w:right w:val="none" w:sz="0" w:space="0" w:color="auto"/>
      </w:divBdr>
    </w:div>
    <w:div w:id="1405831718">
      <w:bodyDiv w:val="1"/>
      <w:marLeft w:val="0"/>
      <w:marRight w:val="0"/>
      <w:marTop w:val="0"/>
      <w:marBottom w:val="0"/>
      <w:divBdr>
        <w:top w:val="none" w:sz="0" w:space="0" w:color="auto"/>
        <w:left w:val="none" w:sz="0" w:space="0" w:color="auto"/>
        <w:bottom w:val="none" w:sz="0" w:space="0" w:color="auto"/>
        <w:right w:val="none" w:sz="0" w:space="0" w:color="auto"/>
      </w:divBdr>
    </w:div>
    <w:div w:id="20599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C14F-A4B1-4181-ACB9-A1791FAC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3015</Characters>
  <Application>Microsoft Office Word</Application>
  <DocSecurity>0</DocSecurity>
  <Lines>39</Lines>
  <Paragraphs>14</Paragraphs>
  <ScaleCrop>false</ScaleCrop>
  <HeadingPairs>
    <vt:vector size="2" baseType="variant">
      <vt:variant>
        <vt:lpstr>Titel</vt:lpstr>
      </vt:variant>
      <vt:variant>
        <vt:i4>1</vt:i4>
      </vt:variant>
    </vt:vector>
  </HeadingPairs>
  <TitlesOfParts>
    <vt:vector size="1" baseType="lpstr">
      <vt:lpstr>&lt;Ennius et sapines et fortis et alter Homerus, ut critici dicunt, leviter curare videtur, quo promissa cadant et somnia Pythagorea</vt:lpstr>
    </vt:vector>
  </TitlesOfParts>
  <Company>BBDO Services GmbH</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&lt;Ennius et sapines et fortis et alter Homerus, ut critici dicunt, leviter curare videtur, quo promissa cadant et somnia Pythagorea</dc:title>
  <dc:subject/>
  <dc:creator>Chlosta, Anne Kristin</dc:creator>
  <cp:keywords/>
  <dc:description/>
  <cp:lastModifiedBy>Luisa Luiz von Witzleben</cp:lastModifiedBy>
  <cp:revision>4</cp:revision>
  <cp:lastPrinted>2021-06-09T13:52:00Z</cp:lastPrinted>
  <dcterms:created xsi:type="dcterms:W3CDTF">2024-10-16T14:26:00Z</dcterms:created>
  <dcterms:modified xsi:type="dcterms:W3CDTF">2024-10-22T11:32:00Z</dcterms:modified>
</cp:coreProperties>
</file>