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E671" w14:textId="77777777" w:rsidR="003B6073" w:rsidRDefault="005329BB">
      <w:pPr>
        <w:spacing w:before="81"/>
        <w:ind w:left="7637"/>
        <w:rPr>
          <w:rFonts w:ascii="Arial" w:hAnsi="Arial"/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9950821" wp14:editId="4565C19D">
            <wp:simplePos x="0" y="0"/>
            <wp:positionH relativeFrom="page">
              <wp:posOffset>966216</wp:posOffset>
            </wp:positionH>
            <wp:positionV relativeFrom="paragraph">
              <wp:posOffset>47178</wp:posOffset>
            </wp:positionV>
            <wp:extent cx="2804160" cy="7208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A51A37"/>
          <w:sz w:val="24"/>
        </w:rPr>
        <w:t>Juristische</w:t>
      </w:r>
      <w:r>
        <w:rPr>
          <w:rFonts w:ascii="Arial" w:hAnsi="Arial"/>
          <w:b/>
          <w:color w:val="A51A37"/>
          <w:spacing w:val="-5"/>
          <w:sz w:val="24"/>
        </w:rPr>
        <w:t xml:space="preserve"> </w:t>
      </w:r>
      <w:r>
        <w:rPr>
          <w:rFonts w:ascii="Arial" w:hAnsi="Arial"/>
          <w:b/>
          <w:color w:val="A51A37"/>
          <w:sz w:val="24"/>
        </w:rPr>
        <w:t>Fakultät</w:t>
      </w:r>
    </w:p>
    <w:p w14:paraId="40B35A30" w14:textId="77777777" w:rsidR="003B6073" w:rsidRDefault="005329BB">
      <w:pPr>
        <w:spacing w:before="139" w:line="280" w:lineRule="auto"/>
        <w:ind w:left="7637" w:right="138"/>
        <w:rPr>
          <w:sz w:val="18"/>
        </w:rPr>
      </w:pPr>
      <w:r>
        <w:rPr>
          <w:color w:val="7F7F7F"/>
          <w:sz w:val="18"/>
        </w:rPr>
        <w:t>Prof. Dr. Stefan Huber, LL.M. (</w:t>
      </w:r>
      <w:proofErr w:type="spellStart"/>
      <w:r>
        <w:rPr>
          <w:color w:val="7F7F7F"/>
          <w:sz w:val="18"/>
        </w:rPr>
        <w:t>KölnParis</w:t>
      </w:r>
      <w:proofErr w:type="spellEnd"/>
      <w:r>
        <w:rPr>
          <w:color w:val="7F7F7F"/>
          <w:sz w:val="18"/>
        </w:rPr>
        <w:t>)</w:t>
      </w:r>
      <w:r>
        <w:rPr>
          <w:color w:val="7F7F7F"/>
          <w:spacing w:val="-47"/>
          <w:sz w:val="18"/>
        </w:rPr>
        <w:t xml:space="preserve"> </w:t>
      </w:r>
      <w:r>
        <w:rPr>
          <w:color w:val="7F7F7F"/>
          <w:sz w:val="18"/>
        </w:rPr>
        <w:t>Lehrstuhl für Bürgerliches Recht,</w:t>
      </w:r>
      <w:r>
        <w:rPr>
          <w:color w:val="7F7F7F"/>
          <w:spacing w:val="1"/>
          <w:sz w:val="18"/>
        </w:rPr>
        <w:t xml:space="preserve"> </w:t>
      </w:r>
      <w:r>
        <w:rPr>
          <w:color w:val="7F7F7F"/>
          <w:sz w:val="18"/>
        </w:rPr>
        <w:t>Zivilprozess-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und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Insolvenzrecht,</w:t>
      </w:r>
    </w:p>
    <w:p w14:paraId="3B97B4CF" w14:textId="77777777" w:rsidR="003B6073" w:rsidRDefault="005329BB">
      <w:pPr>
        <w:spacing w:before="18" w:line="302" w:lineRule="auto"/>
        <w:ind w:left="7637" w:right="737"/>
        <w:rPr>
          <w:sz w:val="18"/>
        </w:rPr>
      </w:pPr>
      <w:r>
        <w:rPr>
          <w:color w:val="7F7F7F"/>
          <w:sz w:val="18"/>
        </w:rPr>
        <w:t>Europäisches und Internationales</w:t>
      </w:r>
      <w:r>
        <w:rPr>
          <w:color w:val="7F7F7F"/>
          <w:spacing w:val="-47"/>
          <w:sz w:val="18"/>
        </w:rPr>
        <w:t xml:space="preserve"> </w:t>
      </w:r>
      <w:r>
        <w:rPr>
          <w:color w:val="7F7F7F"/>
          <w:sz w:val="18"/>
        </w:rPr>
        <w:t>Privat-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und</w:t>
      </w:r>
      <w:r>
        <w:rPr>
          <w:color w:val="7F7F7F"/>
          <w:spacing w:val="-2"/>
          <w:sz w:val="18"/>
        </w:rPr>
        <w:t xml:space="preserve"> </w:t>
      </w:r>
      <w:r>
        <w:rPr>
          <w:color w:val="7F7F7F"/>
          <w:sz w:val="18"/>
        </w:rPr>
        <w:t>Verfahrensrecht</w:t>
      </w:r>
    </w:p>
    <w:p w14:paraId="46004D14" w14:textId="77777777" w:rsidR="003B6073" w:rsidRDefault="003B6073">
      <w:pPr>
        <w:pStyle w:val="Textkrper"/>
        <w:rPr>
          <w:sz w:val="20"/>
        </w:rPr>
      </w:pPr>
    </w:p>
    <w:p w14:paraId="1499D6FA" w14:textId="77777777" w:rsidR="003B6073" w:rsidRDefault="003B6073">
      <w:pPr>
        <w:pStyle w:val="Textkrper"/>
        <w:rPr>
          <w:sz w:val="20"/>
        </w:rPr>
      </w:pPr>
    </w:p>
    <w:p w14:paraId="6CD8FF12" w14:textId="77777777" w:rsidR="003B6073" w:rsidRDefault="003B6073">
      <w:pPr>
        <w:pStyle w:val="Textkrper"/>
        <w:rPr>
          <w:sz w:val="20"/>
        </w:rPr>
      </w:pPr>
    </w:p>
    <w:p w14:paraId="5BBE55F7" w14:textId="77777777" w:rsidR="003B6073" w:rsidRDefault="003B6073">
      <w:pPr>
        <w:pStyle w:val="Textkrper"/>
        <w:rPr>
          <w:sz w:val="20"/>
        </w:rPr>
      </w:pPr>
    </w:p>
    <w:p w14:paraId="2FF4CB75" w14:textId="77777777" w:rsidR="003B6073" w:rsidRDefault="003B6073">
      <w:pPr>
        <w:pStyle w:val="Textkrper"/>
        <w:rPr>
          <w:sz w:val="20"/>
        </w:rPr>
      </w:pPr>
    </w:p>
    <w:p w14:paraId="5D2E2277" w14:textId="77777777" w:rsidR="003B6073" w:rsidRDefault="003B6073">
      <w:pPr>
        <w:pStyle w:val="Textkrper"/>
        <w:rPr>
          <w:sz w:val="20"/>
        </w:rPr>
      </w:pPr>
    </w:p>
    <w:p w14:paraId="4DED1CB3" w14:textId="77777777" w:rsidR="003B6073" w:rsidRDefault="003B6073">
      <w:pPr>
        <w:pStyle w:val="Textkrper"/>
        <w:rPr>
          <w:sz w:val="21"/>
        </w:rPr>
      </w:pPr>
    </w:p>
    <w:p w14:paraId="1C72E754" w14:textId="75140F46" w:rsidR="003B6073" w:rsidRPr="00942B0A" w:rsidRDefault="005329BB">
      <w:pPr>
        <w:ind w:right="108"/>
        <w:jc w:val="right"/>
        <w:rPr>
          <w:rFonts w:ascii="Arial" w:hAnsi="Arial" w:cs="Arial"/>
          <w:sz w:val="20"/>
        </w:rPr>
      </w:pPr>
      <w:r w:rsidRPr="00942B0A">
        <w:rPr>
          <w:rFonts w:ascii="Arial" w:hAnsi="Arial" w:cs="Arial"/>
          <w:sz w:val="20"/>
        </w:rPr>
        <w:t>Tübingen,</w:t>
      </w:r>
      <w:r w:rsidRPr="00942B0A">
        <w:rPr>
          <w:rFonts w:ascii="Arial" w:hAnsi="Arial" w:cs="Arial"/>
          <w:spacing w:val="-2"/>
          <w:sz w:val="20"/>
        </w:rPr>
        <w:t xml:space="preserve"> </w:t>
      </w:r>
      <w:r w:rsidR="00CD2392">
        <w:rPr>
          <w:rFonts w:ascii="Arial" w:hAnsi="Arial" w:cs="Arial"/>
          <w:spacing w:val="-2"/>
          <w:sz w:val="20"/>
        </w:rPr>
        <w:t>4</w:t>
      </w:r>
      <w:r w:rsidRPr="00942B0A">
        <w:rPr>
          <w:rFonts w:ascii="Arial" w:hAnsi="Arial" w:cs="Arial"/>
          <w:sz w:val="20"/>
        </w:rPr>
        <w:t>.</w:t>
      </w:r>
      <w:r w:rsidRPr="00942B0A">
        <w:rPr>
          <w:rFonts w:ascii="Arial" w:hAnsi="Arial" w:cs="Arial"/>
          <w:spacing w:val="-1"/>
          <w:sz w:val="20"/>
        </w:rPr>
        <w:t xml:space="preserve"> </w:t>
      </w:r>
      <w:r w:rsidR="00CD2392">
        <w:rPr>
          <w:rFonts w:ascii="Arial" w:hAnsi="Arial" w:cs="Arial"/>
          <w:spacing w:val="-1"/>
          <w:sz w:val="20"/>
        </w:rPr>
        <w:t xml:space="preserve">August </w:t>
      </w:r>
      <w:r w:rsidRPr="00942B0A">
        <w:rPr>
          <w:rFonts w:ascii="Arial" w:hAnsi="Arial" w:cs="Arial"/>
          <w:sz w:val="20"/>
        </w:rPr>
        <w:t>202</w:t>
      </w:r>
      <w:r w:rsidR="005D548C" w:rsidRPr="00942B0A">
        <w:rPr>
          <w:rFonts w:ascii="Arial" w:hAnsi="Arial" w:cs="Arial"/>
          <w:sz w:val="20"/>
        </w:rPr>
        <w:t>5</w:t>
      </w:r>
    </w:p>
    <w:p w14:paraId="7F21555B" w14:textId="77777777" w:rsidR="003B6073" w:rsidRDefault="003B6073">
      <w:pPr>
        <w:pStyle w:val="Textkrper"/>
        <w:rPr>
          <w:sz w:val="20"/>
        </w:rPr>
      </w:pPr>
    </w:p>
    <w:p w14:paraId="417B0741" w14:textId="77777777" w:rsidR="003B6073" w:rsidRDefault="003B6073">
      <w:pPr>
        <w:pStyle w:val="Textkrper"/>
        <w:spacing w:before="9"/>
        <w:rPr>
          <w:sz w:val="22"/>
        </w:rPr>
      </w:pPr>
    </w:p>
    <w:p w14:paraId="27D21425" w14:textId="37257F20" w:rsidR="003B6073" w:rsidRDefault="005329BB">
      <w:pPr>
        <w:pStyle w:val="Titel"/>
        <w:spacing w:before="91"/>
      </w:pPr>
      <w:r>
        <w:rPr>
          <w:color w:val="C00000"/>
        </w:rPr>
        <w:t>Seminar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im</w:t>
      </w:r>
      <w:r>
        <w:rPr>
          <w:color w:val="C00000"/>
          <w:spacing w:val="-1"/>
        </w:rPr>
        <w:t xml:space="preserve"> </w:t>
      </w:r>
      <w:r w:rsidR="00EF64FA">
        <w:rPr>
          <w:color w:val="C00000"/>
        </w:rPr>
        <w:t>Wintersemester 2025/26</w:t>
      </w:r>
    </w:p>
    <w:p w14:paraId="09E4A259" w14:textId="77777777" w:rsidR="00EF64FA" w:rsidRDefault="00EF64FA">
      <w:pPr>
        <w:pStyle w:val="Textkrper"/>
        <w:spacing w:before="2"/>
        <w:rPr>
          <w:rFonts w:ascii="Arial"/>
          <w:b/>
          <w:sz w:val="28"/>
        </w:rPr>
      </w:pPr>
    </w:p>
    <w:p w14:paraId="6F443CD5" w14:textId="41656B04" w:rsidR="003B6073" w:rsidRDefault="00CD2392">
      <w:pPr>
        <w:pStyle w:val="Titel"/>
        <w:spacing w:line="295" w:lineRule="auto"/>
        <w:ind w:left="536"/>
        <w:rPr>
          <w:color w:val="C00000"/>
        </w:rPr>
      </w:pPr>
      <w:r>
        <w:rPr>
          <w:color w:val="C00000"/>
        </w:rPr>
        <w:t xml:space="preserve">Einschüchterungsklagen </w:t>
      </w:r>
      <w:r w:rsidR="00EF64FA">
        <w:rPr>
          <w:color w:val="C00000"/>
        </w:rPr>
        <w:t>(SLAP</w:t>
      </w:r>
      <w:r w:rsidR="001D371A">
        <w:rPr>
          <w:color w:val="C00000"/>
        </w:rPr>
        <w:t>P</w:t>
      </w:r>
      <w:r w:rsidR="00EF64FA">
        <w:rPr>
          <w:color w:val="C00000"/>
        </w:rPr>
        <w:t>)</w:t>
      </w:r>
    </w:p>
    <w:p w14:paraId="4EC08E69" w14:textId="77777777" w:rsidR="00EF64FA" w:rsidRDefault="00EF64FA">
      <w:pPr>
        <w:pStyle w:val="Titel"/>
        <w:spacing w:line="295" w:lineRule="auto"/>
        <w:ind w:left="536"/>
        <w:rPr>
          <w:color w:val="C00000"/>
        </w:rPr>
      </w:pPr>
    </w:p>
    <w:p w14:paraId="148F9EF6" w14:textId="6505A8DA" w:rsidR="00EF64FA" w:rsidRPr="00CD2392" w:rsidRDefault="00CD2392" w:rsidP="00CD2392">
      <w:pPr>
        <w:pStyle w:val="Titel"/>
        <w:spacing w:before="120" w:line="295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Personen</w:t>
      </w:r>
      <w:r w:rsidRPr="00CD2392">
        <w:rPr>
          <w:b w:val="0"/>
          <w:sz w:val="24"/>
          <w:szCs w:val="24"/>
        </w:rPr>
        <w:t xml:space="preserve">, die in bestimmten Bereichen Missstände offenlegen, sehen sich zunehmend mit Klagen konfrontiert, </w:t>
      </w:r>
      <w:proofErr w:type="gramStart"/>
      <w:r w:rsidRPr="00CD2392">
        <w:rPr>
          <w:b w:val="0"/>
          <w:sz w:val="24"/>
          <w:szCs w:val="24"/>
        </w:rPr>
        <w:t>die</w:t>
      </w:r>
      <w:r w:rsidR="00513E43">
        <w:rPr>
          <w:b w:val="0"/>
          <w:sz w:val="24"/>
          <w:szCs w:val="24"/>
        </w:rPr>
        <w:t xml:space="preserve"> </w:t>
      </w:r>
      <w:r w:rsidRPr="00CD2392">
        <w:rPr>
          <w:b w:val="0"/>
          <w:sz w:val="24"/>
          <w:szCs w:val="24"/>
        </w:rPr>
        <w:t>letztlich</w:t>
      </w:r>
      <w:proofErr w:type="gramEnd"/>
      <w:r w:rsidRPr="00CD2392">
        <w:rPr>
          <w:b w:val="0"/>
          <w:sz w:val="24"/>
          <w:szCs w:val="24"/>
        </w:rPr>
        <w:t xml:space="preserve"> nicht begründet sind, sondern allein zu dem Zweck erhoben werden, auf die Beklagten Druck aufzubauen, um </w:t>
      </w:r>
      <w:r>
        <w:rPr>
          <w:b w:val="0"/>
          <w:sz w:val="24"/>
          <w:szCs w:val="24"/>
        </w:rPr>
        <w:t>diese</w:t>
      </w:r>
      <w:r w:rsidRPr="00CD2392">
        <w:rPr>
          <w:b w:val="0"/>
          <w:sz w:val="24"/>
          <w:szCs w:val="24"/>
        </w:rPr>
        <w:t xml:space="preserve"> von weiteren Recherchen abzuhalten. Im April 2024 hat der EU-Gesetzgeber eine Richtlinie zur Bekämpfung derartiger missbräuchlicher Klagen ver</w:t>
      </w:r>
      <w:r w:rsidRPr="00CD2392">
        <w:rPr>
          <w:b w:val="0"/>
          <w:sz w:val="24"/>
          <w:szCs w:val="24"/>
        </w:rPr>
        <w:softHyphen/>
        <w:t>ab</w:t>
      </w:r>
      <w:r w:rsidRPr="00CD2392">
        <w:rPr>
          <w:b w:val="0"/>
          <w:sz w:val="24"/>
          <w:szCs w:val="24"/>
        </w:rPr>
        <w:softHyphen/>
        <w:t>schiedet.</w:t>
      </w:r>
      <w:r w:rsidR="00454262" w:rsidRPr="00CD239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In Deutschland gibt es seit </w:t>
      </w:r>
      <w:r w:rsidR="0024757B" w:rsidRPr="0024757B">
        <w:rPr>
          <w:sz w:val="24"/>
          <w:szCs w:val="24"/>
        </w:rPr>
        <w:t>Juni 2025</w:t>
      </w:r>
      <w:r w:rsidR="0024757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einen Gesetzentwurf, der der Richtlinien</w:t>
      </w:r>
      <w:r>
        <w:rPr>
          <w:b w:val="0"/>
          <w:sz w:val="24"/>
          <w:szCs w:val="24"/>
        </w:rPr>
        <w:softHyphen/>
        <w:t>umsetzung dient. Ziel des Seminars ist die Analyse dieses Regelungsvorschlags mit seinem euro</w:t>
      </w:r>
      <w:r>
        <w:rPr>
          <w:b w:val="0"/>
          <w:sz w:val="24"/>
          <w:szCs w:val="24"/>
        </w:rPr>
        <w:softHyphen/>
        <w:t>päischen Hintergrund.</w:t>
      </w:r>
    </w:p>
    <w:p w14:paraId="1192BB6C" w14:textId="30F459F3" w:rsidR="003B6073" w:rsidRDefault="003B6073" w:rsidP="00EF64FA">
      <w:pPr>
        <w:pStyle w:val="Textkrper"/>
        <w:spacing w:before="120"/>
        <w:jc w:val="both"/>
        <w:rPr>
          <w:sz w:val="26"/>
        </w:rPr>
      </w:pPr>
    </w:p>
    <w:p w14:paraId="452CE065" w14:textId="38F6C84E" w:rsidR="003B6073" w:rsidRPr="00942B0A" w:rsidRDefault="005329BB" w:rsidP="00CD2392">
      <w:pPr>
        <w:pStyle w:val="Textkrper"/>
        <w:spacing w:before="120"/>
        <w:jc w:val="both"/>
        <w:rPr>
          <w:rFonts w:ascii="Arial" w:hAnsi="Arial" w:cs="Arial"/>
        </w:rPr>
      </w:pPr>
      <w:r w:rsidRPr="00942B0A">
        <w:rPr>
          <w:rFonts w:ascii="Arial" w:hAnsi="Arial" w:cs="Arial"/>
        </w:rPr>
        <w:t>Die</w:t>
      </w:r>
      <w:r w:rsidRPr="00942B0A">
        <w:rPr>
          <w:rFonts w:ascii="Arial" w:hAnsi="Arial" w:cs="Arial"/>
          <w:spacing w:val="-4"/>
        </w:rPr>
        <w:t xml:space="preserve"> </w:t>
      </w:r>
      <w:r w:rsidRPr="00942B0A">
        <w:rPr>
          <w:rFonts w:ascii="Arial" w:hAnsi="Arial" w:cs="Arial"/>
        </w:rPr>
        <w:t>Veranstaltung</w:t>
      </w:r>
      <w:r w:rsidRPr="00942B0A">
        <w:rPr>
          <w:rFonts w:ascii="Arial" w:hAnsi="Arial" w:cs="Arial"/>
          <w:spacing w:val="-4"/>
        </w:rPr>
        <w:t xml:space="preserve"> </w:t>
      </w:r>
      <w:r w:rsidRPr="00942B0A">
        <w:rPr>
          <w:rFonts w:ascii="Arial" w:hAnsi="Arial" w:cs="Arial"/>
        </w:rPr>
        <w:t>findet</w:t>
      </w:r>
      <w:r w:rsidRPr="00942B0A">
        <w:rPr>
          <w:rFonts w:ascii="Arial" w:hAnsi="Arial" w:cs="Arial"/>
          <w:spacing w:val="-5"/>
        </w:rPr>
        <w:t xml:space="preserve"> </w:t>
      </w:r>
      <w:r w:rsidRPr="00942B0A">
        <w:rPr>
          <w:rFonts w:ascii="Arial" w:hAnsi="Arial" w:cs="Arial"/>
        </w:rPr>
        <w:t>als</w:t>
      </w:r>
      <w:r w:rsidRPr="00942B0A">
        <w:rPr>
          <w:rFonts w:ascii="Arial" w:hAnsi="Arial" w:cs="Arial"/>
          <w:spacing w:val="-3"/>
        </w:rPr>
        <w:t xml:space="preserve"> </w:t>
      </w:r>
      <w:r w:rsidRPr="00942B0A">
        <w:rPr>
          <w:rFonts w:ascii="Arial" w:hAnsi="Arial" w:cs="Arial"/>
        </w:rPr>
        <w:t>Blockseminar</w:t>
      </w:r>
      <w:r w:rsidRPr="00942B0A">
        <w:rPr>
          <w:rFonts w:ascii="Arial" w:hAnsi="Arial" w:cs="Arial"/>
          <w:spacing w:val="-4"/>
        </w:rPr>
        <w:t xml:space="preserve"> </w:t>
      </w:r>
      <w:r w:rsidRPr="00942B0A">
        <w:rPr>
          <w:rFonts w:ascii="Arial" w:hAnsi="Arial" w:cs="Arial"/>
        </w:rPr>
        <w:t>am</w:t>
      </w:r>
      <w:r w:rsidRPr="00942B0A">
        <w:rPr>
          <w:rFonts w:ascii="Arial" w:hAnsi="Arial" w:cs="Arial"/>
          <w:spacing w:val="-4"/>
        </w:rPr>
        <w:t xml:space="preserve"> </w:t>
      </w:r>
      <w:r w:rsidRPr="00942B0A">
        <w:rPr>
          <w:rFonts w:ascii="Arial" w:hAnsi="Arial" w:cs="Arial"/>
        </w:rPr>
        <w:t>Ende</w:t>
      </w:r>
      <w:r w:rsidRPr="00942B0A">
        <w:rPr>
          <w:rFonts w:ascii="Arial" w:hAnsi="Arial" w:cs="Arial"/>
          <w:spacing w:val="-3"/>
        </w:rPr>
        <w:t xml:space="preserve"> </w:t>
      </w:r>
      <w:r w:rsidRPr="00942B0A">
        <w:rPr>
          <w:rFonts w:ascii="Arial" w:hAnsi="Arial" w:cs="Arial"/>
        </w:rPr>
        <w:t>der</w:t>
      </w:r>
      <w:r w:rsidRPr="00942B0A">
        <w:rPr>
          <w:rFonts w:ascii="Arial" w:hAnsi="Arial" w:cs="Arial"/>
          <w:spacing w:val="-4"/>
        </w:rPr>
        <w:t xml:space="preserve"> </w:t>
      </w:r>
      <w:r w:rsidRPr="00942B0A">
        <w:rPr>
          <w:rFonts w:ascii="Arial" w:hAnsi="Arial" w:cs="Arial"/>
        </w:rPr>
        <w:t>Vorlesungszeit</w:t>
      </w:r>
      <w:r w:rsidRPr="00942B0A">
        <w:rPr>
          <w:rFonts w:ascii="Arial" w:hAnsi="Arial" w:cs="Arial"/>
          <w:spacing w:val="-4"/>
        </w:rPr>
        <w:t xml:space="preserve"> </w:t>
      </w:r>
      <w:r w:rsidRPr="00942B0A">
        <w:rPr>
          <w:rFonts w:ascii="Arial" w:hAnsi="Arial" w:cs="Arial"/>
        </w:rPr>
        <w:t>statt.</w:t>
      </w:r>
    </w:p>
    <w:p w14:paraId="1B52EBE6" w14:textId="0B10DADD" w:rsidR="003B6073" w:rsidRPr="00942B0A" w:rsidRDefault="005329BB" w:rsidP="002B4782">
      <w:pPr>
        <w:pStyle w:val="Textkrper"/>
        <w:spacing w:before="120" w:line="249" w:lineRule="auto"/>
        <w:ind w:right="371"/>
        <w:jc w:val="both"/>
        <w:rPr>
          <w:rFonts w:ascii="Arial" w:hAnsi="Arial" w:cs="Arial"/>
        </w:rPr>
      </w:pPr>
      <w:r w:rsidRPr="00942B0A">
        <w:rPr>
          <w:rFonts w:ascii="Arial" w:hAnsi="Arial" w:cs="Arial"/>
        </w:rPr>
        <w:t>Es</w:t>
      </w:r>
      <w:r w:rsidRPr="00942B0A">
        <w:rPr>
          <w:rFonts w:ascii="Arial" w:hAnsi="Arial" w:cs="Arial"/>
          <w:spacing w:val="-6"/>
        </w:rPr>
        <w:t xml:space="preserve"> </w:t>
      </w:r>
      <w:r w:rsidRPr="00942B0A">
        <w:rPr>
          <w:rFonts w:ascii="Arial" w:hAnsi="Arial" w:cs="Arial"/>
        </w:rPr>
        <w:t>besteht</w:t>
      </w:r>
      <w:r w:rsidRPr="00942B0A">
        <w:rPr>
          <w:rFonts w:ascii="Arial" w:hAnsi="Arial" w:cs="Arial"/>
          <w:spacing w:val="-4"/>
        </w:rPr>
        <w:t xml:space="preserve"> </w:t>
      </w:r>
      <w:r w:rsidRPr="00942B0A">
        <w:rPr>
          <w:rFonts w:ascii="Arial" w:hAnsi="Arial" w:cs="Arial"/>
        </w:rPr>
        <w:t>die</w:t>
      </w:r>
      <w:r w:rsidRPr="00942B0A">
        <w:rPr>
          <w:rFonts w:ascii="Arial" w:hAnsi="Arial" w:cs="Arial"/>
          <w:spacing w:val="-5"/>
        </w:rPr>
        <w:t xml:space="preserve"> </w:t>
      </w:r>
      <w:r w:rsidRPr="00942B0A">
        <w:rPr>
          <w:rFonts w:ascii="Arial" w:hAnsi="Arial" w:cs="Arial"/>
        </w:rPr>
        <w:t>Möglichkeit,</w:t>
      </w:r>
      <w:r w:rsidRPr="00942B0A">
        <w:rPr>
          <w:rFonts w:ascii="Arial" w:hAnsi="Arial" w:cs="Arial"/>
          <w:spacing w:val="-4"/>
        </w:rPr>
        <w:t xml:space="preserve"> </w:t>
      </w:r>
      <w:r w:rsidRPr="00942B0A">
        <w:rPr>
          <w:rFonts w:ascii="Arial" w:hAnsi="Arial" w:cs="Arial"/>
        </w:rPr>
        <w:t>im</w:t>
      </w:r>
      <w:r w:rsidRPr="00942B0A">
        <w:rPr>
          <w:rFonts w:ascii="Arial" w:hAnsi="Arial" w:cs="Arial"/>
          <w:spacing w:val="-5"/>
        </w:rPr>
        <w:t xml:space="preserve"> </w:t>
      </w:r>
      <w:r w:rsidRPr="00942B0A">
        <w:rPr>
          <w:rFonts w:ascii="Arial" w:hAnsi="Arial" w:cs="Arial"/>
        </w:rPr>
        <w:t>Rahmen</w:t>
      </w:r>
      <w:r w:rsidRPr="00942B0A">
        <w:rPr>
          <w:rFonts w:ascii="Arial" w:hAnsi="Arial" w:cs="Arial"/>
          <w:spacing w:val="-3"/>
        </w:rPr>
        <w:t xml:space="preserve"> </w:t>
      </w:r>
      <w:r w:rsidRPr="00942B0A">
        <w:rPr>
          <w:rFonts w:ascii="Arial" w:hAnsi="Arial" w:cs="Arial"/>
        </w:rPr>
        <w:t>des</w:t>
      </w:r>
      <w:r w:rsidRPr="00942B0A">
        <w:rPr>
          <w:rFonts w:ascii="Arial" w:hAnsi="Arial" w:cs="Arial"/>
          <w:spacing w:val="-5"/>
        </w:rPr>
        <w:t xml:space="preserve"> </w:t>
      </w:r>
      <w:r w:rsidRPr="00942B0A">
        <w:rPr>
          <w:rFonts w:ascii="Arial" w:hAnsi="Arial" w:cs="Arial"/>
        </w:rPr>
        <w:t>Seminars</w:t>
      </w:r>
      <w:r w:rsidRPr="00942B0A">
        <w:rPr>
          <w:rFonts w:ascii="Arial" w:hAnsi="Arial" w:cs="Arial"/>
          <w:spacing w:val="-4"/>
        </w:rPr>
        <w:t xml:space="preserve"> </w:t>
      </w:r>
      <w:r w:rsidRPr="00942B0A">
        <w:rPr>
          <w:rFonts w:ascii="Arial" w:hAnsi="Arial" w:cs="Arial"/>
        </w:rPr>
        <w:t>eine</w:t>
      </w:r>
      <w:r w:rsidRPr="00942B0A">
        <w:rPr>
          <w:rFonts w:ascii="Arial" w:hAnsi="Arial" w:cs="Arial"/>
          <w:spacing w:val="-5"/>
        </w:rPr>
        <w:t xml:space="preserve"> </w:t>
      </w:r>
      <w:r w:rsidRPr="00942B0A">
        <w:rPr>
          <w:rFonts w:ascii="Arial" w:hAnsi="Arial" w:cs="Arial"/>
        </w:rPr>
        <w:t>Studienarbeit</w:t>
      </w:r>
      <w:r w:rsidRPr="00942B0A">
        <w:rPr>
          <w:rFonts w:ascii="Arial" w:hAnsi="Arial" w:cs="Arial"/>
          <w:spacing w:val="-4"/>
        </w:rPr>
        <w:t xml:space="preserve"> </w:t>
      </w:r>
      <w:r w:rsidRPr="00942B0A">
        <w:rPr>
          <w:rFonts w:ascii="Arial" w:hAnsi="Arial" w:cs="Arial"/>
        </w:rPr>
        <w:t>i</w:t>
      </w:r>
      <w:r w:rsidR="00CD2392">
        <w:rPr>
          <w:rFonts w:ascii="Arial" w:hAnsi="Arial" w:cs="Arial"/>
        </w:rPr>
        <w:t>n den</w:t>
      </w:r>
      <w:r w:rsidRPr="00942B0A">
        <w:rPr>
          <w:rFonts w:ascii="Arial" w:hAnsi="Arial" w:cs="Arial"/>
          <w:spacing w:val="-5"/>
        </w:rPr>
        <w:t xml:space="preserve"> </w:t>
      </w:r>
      <w:r w:rsidRPr="00942B0A">
        <w:rPr>
          <w:rFonts w:ascii="Arial" w:hAnsi="Arial" w:cs="Arial"/>
        </w:rPr>
        <w:t>Schwerpunkt</w:t>
      </w:r>
      <w:r w:rsidR="00CD2392">
        <w:rPr>
          <w:rFonts w:ascii="Arial" w:hAnsi="Arial" w:cs="Arial"/>
        </w:rPr>
        <w:softHyphen/>
      </w:r>
      <w:r w:rsidRPr="00942B0A">
        <w:rPr>
          <w:rFonts w:ascii="Arial" w:hAnsi="Arial" w:cs="Arial"/>
        </w:rPr>
        <w:t>bereich</w:t>
      </w:r>
      <w:r w:rsidR="00CD2392">
        <w:rPr>
          <w:rFonts w:ascii="Arial" w:hAnsi="Arial" w:cs="Arial"/>
        </w:rPr>
        <w:t>en</w:t>
      </w:r>
      <w:r w:rsidRPr="00942B0A">
        <w:rPr>
          <w:rFonts w:ascii="Arial" w:hAnsi="Arial" w:cs="Arial"/>
          <w:spacing w:val="-3"/>
        </w:rPr>
        <w:t xml:space="preserve"> </w:t>
      </w:r>
      <w:r w:rsidRPr="00942B0A">
        <w:rPr>
          <w:rFonts w:ascii="Arial" w:hAnsi="Arial" w:cs="Arial"/>
        </w:rPr>
        <w:t>2</w:t>
      </w:r>
      <w:r w:rsidR="00CD2392">
        <w:rPr>
          <w:rFonts w:ascii="Arial" w:hAnsi="Arial" w:cs="Arial"/>
        </w:rPr>
        <w:t xml:space="preserve"> und 4b zu schreiben.</w:t>
      </w:r>
    </w:p>
    <w:p w14:paraId="5730A29B" w14:textId="77777777" w:rsidR="003B6073" w:rsidRPr="00942B0A" w:rsidRDefault="003B6073" w:rsidP="00EF64FA">
      <w:pPr>
        <w:pStyle w:val="Textkrper"/>
        <w:spacing w:before="4"/>
        <w:jc w:val="both"/>
        <w:rPr>
          <w:rFonts w:ascii="Arial" w:hAnsi="Arial" w:cs="Arial"/>
        </w:rPr>
      </w:pPr>
    </w:p>
    <w:p w14:paraId="7FDAFC28" w14:textId="18D25CA7" w:rsidR="003B6073" w:rsidRPr="00942B0A" w:rsidRDefault="005329BB" w:rsidP="00CD2392">
      <w:pPr>
        <w:ind w:left="102" w:hanging="102"/>
        <w:jc w:val="both"/>
        <w:rPr>
          <w:rFonts w:ascii="Arial" w:hAnsi="Arial" w:cs="Arial"/>
          <w:sz w:val="24"/>
          <w:szCs w:val="24"/>
        </w:rPr>
      </w:pPr>
      <w:r w:rsidRPr="00942B0A">
        <w:rPr>
          <w:rFonts w:ascii="Arial" w:hAnsi="Arial" w:cs="Arial"/>
          <w:sz w:val="24"/>
          <w:szCs w:val="24"/>
        </w:rPr>
        <w:t>Melden</w:t>
      </w:r>
      <w:r w:rsidRPr="00942B0A">
        <w:rPr>
          <w:rFonts w:ascii="Arial" w:hAnsi="Arial" w:cs="Arial"/>
          <w:spacing w:val="-7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Sie</w:t>
      </w:r>
      <w:r w:rsidRPr="00942B0A">
        <w:rPr>
          <w:rFonts w:ascii="Arial" w:hAnsi="Arial" w:cs="Arial"/>
          <w:spacing w:val="-6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sich</w:t>
      </w:r>
      <w:r w:rsidRPr="00942B0A">
        <w:rPr>
          <w:rFonts w:ascii="Arial" w:hAnsi="Arial" w:cs="Arial"/>
          <w:spacing w:val="-7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bitte</w:t>
      </w:r>
      <w:r w:rsidRPr="00942B0A">
        <w:rPr>
          <w:rFonts w:ascii="Arial" w:hAnsi="Arial" w:cs="Arial"/>
          <w:spacing w:val="-6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vorab</w:t>
      </w:r>
      <w:r w:rsidRPr="00942B0A">
        <w:rPr>
          <w:rFonts w:ascii="Arial" w:hAnsi="Arial" w:cs="Arial"/>
          <w:spacing w:val="-6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per</w:t>
      </w:r>
      <w:r w:rsidRPr="00942B0A">
        <w:rPr>
          <w:rFonts w:ascii="Arial" w:hAnsi="Arial" w:cs="Arial"/>
          <w:spacing w:val="-7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E-Mail</w:t>
      </w:r>
      <w:r w:rsidRPr="00942B0A">
        <w:rPr>
          <w:rFonts w:ascii="Arial" w:hAnsi="Arial" w:cs="Arial"/>
          <w:spacing w:val="-6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im</w:t>
      </w:r>
      <w:r w:rsidRPr="00942B0A">
        <w:rPr>
          <w:rFonts w:ascii="Arial" w:hAnsi="Arial" w:cs="Arial"/>
          <w:spacing w:val="-7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Sekretariat</w:t>
      </w:r>
      <w:r w:rsidRPr="00942B0A">
        <w:rPr>
          <w:rFonts w:ascii="Arial" w:hAnsi="Arial" w:cs="Arial"/>
          <w:spacing w:val="-6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(</w:t>
      </w:r>
      <w:r w:rsidRPr="00942B0A">
        <w:rPr>
          <w:rFonts w:ascii="Arial" w:hAnsi="Arial" w:cs="Arial"/>
          <w:spacing w:val="-7"/>
          <w:sz w:val="24"/>
          <w:szCs w:val="24"/>
        </w:rPr>
        <w:t xml:space="preserve"> </w:t>
      </w:r>
      <w:hyperlink r:id="rId6" w:history="1">
        <w:r w:rsidR="00606C69" w:rsidRPr="00B85878">
          <w:rPr>
            <w:rStyle w:val="Hyperlink"/>
            <w:rFonts w:ascii="Arial" w:hAnsi="Arial" w:cs="Arial"/>
            <w:b/>
            <w:sz w:val="24"/>
            <w:szCs w:val="24"/>
          </w:rPr>
          <w:t>sekretariat.huber@jura.uni-tuebingen.de</w:t>
        </w:r>
        <w:r w:rsidR="00606C69" w:rsidRPr="00B85878">
          <w:rPr>
            <w:rStyle w:val="Hyperlink"/>
            <w:rFonts w:ascii="Arial" w:hAnsi="Arial" w:cs="Arial"/>
            <w:b/>
            <w:spacing w:val="-4"/>
            <w:sz w:val="24"/>
            <w:szCs w:val="24"/>
          </w:rPr>
          <w:t xml:space="preserve"> </w:t>
        </w:r>
      </w:hyperlink>
      <w:r w:rsidRPr="00942B0A">
        <w:rPr>
          <w:rFonts w:ascii="Arial" w:hAnsi="Arial" w:cs="Arial"/>
          <w:sz w:val="24"/>
          <w:szCs w:val="24"/>
        </w:rPr>
        <w:t>)</w:t>
      </w:r>
      <w:r w:rsidRPr="00942B0A">
        <w:rPr>
          <w:rFonts w:ascii="Arial" w:hAnsi="Arial" w:cs="Arial"/>
          <w:spacing w:val="-7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an.</w:t>
      </w:r>
    </w:p>
    <w:p w14:paraId="0F08814C" w14:textId="77777777" w:rsidR="003B6073" w:rsidRPr="00942B0A" w:rsidRDefault="003B6073" w:rsidP="00EF64FA">
      <w:pPr>
        <w:pStyle w:val="Textkrper"/>
        <w:spacing w:before="8"/>
        <w:jc w:val="both"/>
        <w:rPr>
          <w:rFonts w:ascii="Arial" w:hAnsi="Arial" w:cs="Arial"/>
        </w:rPr>
      </w:pPr>
    </w:p>
    <w:p w14:paraId="22C4DB38" w14:textId="77777777" w:rsidR="00EF64FA" w:rsidRPr="00942B0A" w:rsidRDefault="00EF64FA" w:rsidP="00EF64FA">
      <w:pPr>
        <w:pStyle w:val="Textkrper"/>
        <w:spacing w:before="8"/>
        <w:jc w:val="both"/>
        <w:rPr>
          <w:rFonts w:ascii="Arial" w:hAnsi="Arial" w:cs="Arial"/>
        </w:rPr>
      </w:pPr>
    </w:p>
    <w:p w14:paraId="5454F056" w14:textId="77777777" w:rsidR="003B6073" w:rsidRPr="00942B0A" w:rsidRDefault="005329BB" w:rsidP="00EF64FA">
      <w:pPr>
        <w:ind w:left="154"/>
        <w:jc w:val="both"/>
        <w:rPr>
          <w:rFonts w:ascii="Arial" w:hAnsi="Arial" w:cs="Arial"/>
          <w:sz w:val="24"/>
          <w:szCs w:val="24"/>
        </w:rPr>
      </w:pPr>
      <w:r w:rsidRPr="00942B0A">
        <w:rPr>
          <w:rFonts w:ascii="Arial" w:hAnsi="Arial" w:cs="Arial"/>
          <w:sz w:val="24"/>
          <w:szCs w:val="24"/>
        </w:rPr>
        <w:t>Prof.</w:t>
      </w:r>
      <w:r w:rsidRPr="00942B0A">
        <w:rPr>
          <w:rFonts w:ascii="Arial" w:hAnsi="Arial" w:cs="Arial"/>
          <w:spacing w:val="-5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Dr.</w:t>
      </w:r>
      <w:r w:rsidRPr="00942B0A">
        <w:rPr>
          <w:rFonts w:ascii="Arial" w:hAnsi="Arial" w:cs="Arial"/>
          <w:spacing w:val="-4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Stefan</w:t>
      </w:r>
      <w:r w:rsidRPr="00942B0A">
        <w:rPr>
          <w:rFonts w:ascii="Arial" w:hAnsi="Arial" w:cs="Arial"/>
          <w:spacing w:val="-4"/>
          <w:sz w:val="24"/>
          <w:szCs w:val="24"/>
        </w:rPr>
        <w:t xml:space="preserve"> </w:t>
      </w:r>
      <w:r w:rsidRPr="00942B0A">
        <w:rPr>
          <w:rFonts w:ascii="Arial" w:hAnsi="Arial" w:cs="Arial"/>
          <w:sz w:val="24"/>
          <w:szCs w:val="24"/>
        </w:rPr>
        <w:t>Huber</w:t>
      </w:r>
    </w:p>
    <w:sectPr w:rsidR="003B6073" w:rsidRPr="00942B0A" w:rsidSect="00CD2392">
      <w:type w:val="continuous"/>
      <w:pgSz w:w="11910" w:h="16840"/>
      <w:pgMar w:top="74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10DD3"/>
    <w:multiLevelType w:val="hybridMultilevel"/>
    <w:tmpl w:val="1BFAB4CA"/>
    <w:lvl w:ilvl="0" w:tplc="040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num w:numId="1" w16cid:durableId="133132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73"/>
    <w:rsid w:val="00147955"/>
    <w:rsid w:val="001D371A"/>
    <w:rsid w:val="0024757B"/>
    <w:rsid w:val="002B4782"/>
    <w:rsid w:val="0037609C"/>
    <w:rsid w:val="00382B97"/>
    <w:rsid w:val="003B6073"/>
    <w:rsid w:val="00454262"/>
    <w:rsid w:val="00513E43"/>
    <w:rsid w:val="005329BB"/>
    <w:rsid w:val="005D548C"/>
    <w:rsid w:val="00606C69"/>
    <w:rsid w:val="007B38A9"/>
    <w:rsid w:val="00942B0A"/>
    <w:rsid w:val="009626F7"/>
    <w:rsid w:val="00B059FE"/>
    <w:rsid w:val="00CD2392"/>
    <w:rsid w:val="00E40725"/>
    <w:rsid w:val="00EB1C40"/>
    <w:rsid w:val="00EF64FA"/>
    <w:rsid w:val="00F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5E35"/>
  <w15:docId w15:val="{F29339C6-48B6-42AC-81AC-9D464D71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535" w:right="49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06C6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huber@jura.uni-tuebingen.de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Ankündigung Seminar ZPO-Insolvenzrecht Laukemann.docx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Ankündigung Seminar ZPO-Insolvenzrecht Laukemann.docx</dc:title>
  <dc:creator>Laukemann</dc:creator>
  <cp:lastModifiedBy>Maria Burlein-La Porta</cp:lastModifiedBy>
  <cp:revision>2</cp:revision>
  <dcterms:created xsi:type="dcterms:W3CDTF">2025-09-12T11:39:00Z</dcterms:created>
  <dcterms:modified xsi:type="dcterms:W3CDTF">2025-09-12T11:39:00Z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2024-02-19T00:00:00Z</vt:filetime>
  </property>
</Properties>
</file>