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C0BC6" w14:textId="77777777" w:rsidR="00AF291B" w:rsidRDefault="00AF291B" w:rsidP="00AF291B">
      <w:pPr>
        <w:pStyle w:val="Titel"/>
      </w:pPr>
      <w:r>
        <w:t>Kommunale Finanzausstattung – Schlüssel zur Selbstverwaltung oder Gängelband von Bund und Ländern?</w:t>
      </w:r>
    </w:p>
    <w:p w14:paraId="085C8838" w14:textId="77777777" w:rsidR="00AF291B" w:rsidRDefault="00AF291B" w:rsidP="00AF291B">
      <w:pPr>
        <w:spacing w:after="600"/>
        <w:ind w:firstLine="0"/>
        <w:rPr>
          <w:i/>
          <w:iCs/>
        </w:rPr>
      </w:pPr>
      <w:r>
        <w:rPr>
          <w:i/>
          <w:iCs/>
        </w:rPr>
        <w:t>Mario Hesse/Tim Starke</w:t>
      </w:r>
    </w:p>
    <w:p w14:paraId="3676031F" w14:textId="61FB11C6" w:rsidR="00AF291B" w:rsidRPr="00AF291B" w:rsidRDefault="00AF291B" w:rsidP="00AF291B">
      <w:pPr>
        <w:ind w:firstLine="0"/>
        <w:rPr>
          <w:b/>
          <w:bCs/>
        </w:rPr>
      </w:pPr>
      <w:r w:rsidRPr="00AF291B">
        <w:rPr>
          <w:b/>
          <w:bCs/>
        </w:rPr>
        <w:t>Zusammenfassung</w:t>
      </w:r>
    </w:p>
    <w:p w14:paraId="271A0CA8" w14:textId="77777777" w:rsidR="00AF291B" w:rsidRDefault="00AF291B" w:rsidP="00AF291B">
      <w:pPr>
        <w:ind w:firstLine="0"/>
      </w:pPr>
    </w:p>
    <w:p w14:paraId="1BEEAF37" w14:textId="68628876" w:rsidR="00AF291B" w:rsidRPr="00AF291B" w:rsidRDefault="00AF291B" w:rsidP="00AF291B">
      <w:pPr>
        <w:ind w:firstLine="0"/>
      </w:pPr>
      <w:r w:rsidRPr="00AF291B">
        <w:t>Die Kommunen sind mehr als die verlängerten Arme der Landesverwaltungen. Die grundgesetzlich geschützte Garantie der kommunalen Selbstverwaltung spiegelt sich vor allem in der Bereitstellung und Bewirtschaftung der öffentlichen Infrastruktur. Zugleich ist der Anteil der Kommunen am gesamtstaatlichen Steueraufkommen wesentlich geringer als ihr Anteil an den Ausgaben, weshalb sie strukturell von Zuweisungen abhängig sind. Angesichts des kommunalen Aufgabencharakters bestehen unterschiedliche Zuweisungswege, die den Mittelgebern zum Teil weitreichende Einflussmöglichkeiten sichern. Um die finanzielle Situation der Kommunen zu verbessern, sollten die Länder vor allem eine Stärkung der Schlüsselzuweisungssysteme befördern und der Bund noch stärker in die Kofinanzierung der kommunalen Sozialleistungen einsteigen. Darüber hinaus sollte den Kommunen ein höherer Teil am gesamtstaatlichen Steueraufkommen zukommen, wofür die Umsatzsteuer als flexibles Scharnier der Finanzverfassung geeignet ist. Antragsgebundene Förderverfahren sollten im Gegenzug auf Maßnahmen beschränkt werden, die nachvollziehbar die Leistungsfähigkeit der einzelnen Kommune übersteigen, nicht jedoch zur Grundfinanzierung kommunaler Aufgaben dienen.</w:t>
      </w:r>
    </w:p>
    <w:p w14:paraId="2EC4A3DA" w14:textId="77777777" w:rsidR="00AF291B" w:rsidRPr="00AF291B" w:rsidRDefault="00AF291B" w:rsidP="00AF291B"/>
    <w:p w14:paraId="48CEB7FD" w14:textId="77777777" w:rsidR="00AF291B" w:rsidRPr="00AF291B" w:rsidRDefault="00AF291B" w:rsidP="00AF291B"/>
    <w:p w14:paraId="3D753DED" w14:textId="77777777" w:rsidR="00AF291B" w:rsidRPr="00AF291B" w:rsidRDefault="00AF291B" w:rsidP="00AF291B">
      <w:pPr>
        <w:keepNext/>
        <w:keepLines/>
        <w:suppressAutoHyphens/>
        <w:spacing w:after="240"/>
        <w:ind w:firstLine="0"/>
        <w:jc w:val="left"/>
        <w:rPr>
          <w:rFonts w:cs="Arial"/>
          <w:b/>
          <w:bCs/>
          <w:kern w:val="28"/>
          <w:sz w:val="28"/>
          <w:szCs w:val="32"/>
          <w:lang w:val="en-US"/>
        </w:rPr>
      </w:pPr>
      <w:r w:rsidRPr="00AF291B">
        <w:rPr>
          <w:rFonts w:cs="Arial"/>
          <w:b/>
          <w:bCs/>
          <w:kern w:val="28"/>
          <w:sz w:val="28"/>
          <w:szCs w:val="32"/>
          <w:lang w:val="en-US"/>
        </w:rPr>
        <w:t>Municipal Financing - Key to Self-Governance or Ligament from the Federal and State Governments? - Summary</w:t>
      </w:r>
    </w:p>
    <w:p w14:paraId="215E7042" w14:textId="775E368B" w:rsidR="00A40923" w:rsidRPr="00AF291B" w:rsidRDefault="00AF291B" w:rsidP="00AF291B">
      <w:pPr>
        <w:ind w:firstLine="0"/>
        <w:rPr>
          <w:lang w:val="en-US"/>
        </w:rPr>
      </w:pPr>
      <w:r w:rsidRPr="00AF291B">
        <w:rPr>
          <w:lang w:val="en-US"/>
        </w:rPr>
        <w:t xml:space="preserve">The municipalities are more than the outposts of the state administrations. The constitutionally protected guarantee of municipal self-administration is reflected primarily in the provision of public infrastructure. At the same time, the municipalities' share of overall state tax revenue is much lower than their share of expenditures, which is why they are structurally dependent on allocations. </w:t>
      </w:r>
      <w:proofErr w:type="gramStart"/>
      <w:r w:rsidRPr="00AF291B">
        <w:rPr>
          <w:lang w:val="en-US"/>
        </w:rPr>
        <w:t>Considering the nature of the municipal tasks, there</w:t>
      </w:r>
      <w:proofErr w:type="gramEnd"/>
      <w:r w:rsidRPr="00AF291B">
        <w:rPr>
          <w:lang w:val="en-US"/>
        </w:rPr>
        <w:t xml:space="preserve"> are different allocation channels, some of which give the fund providers far-reaching opportunities to exert influence. In order to improve the financial situation of the municipalities, the states should encourage, above all, a strengthening of the key allocation systems and the federal government should become even more involved in financing municipal social services. In addition, the municipalities should receive a higher share of the overall state tax revenue, for which the value-added tax is suitable. In return, application-based funding procedures should be limited to measures that clearly exceed the capacity of the individual municipality, but do not serve to provide basic funding for municipal tasks</w:t>
      </w:r>
    </w:p>
    <w:sectPr w:rsidR="00A40923" w:rsidRPr="00AF29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1B"/>
    <w:rsid w:val="00013FD8"/>
    <w:rsid w:val="00334E38"/>
    <w:rsid w:val="00371948"/>
    <w:rsid w:val="00416911"/>
    <w:rsid w:val="00A71AAD"/>
    <w:rsid w:val="00AF291B"/>
    <w:rsid w:val="00AF5622"/>
    <w:rsid w:val="00C11673"/>
    <w:rsid w:val="00DB3FE7"/>
    <w:rsid w:val="00F35D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EC903"/>
  <w15:chartTrackingRefBased/>
  <w15:docId w15:val="{5D205417-D012-4528-A6D7-8F242EAA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34E38"/>
    <w:pPr>
      <w:spacing w:after="0" w:line="300" w:lineRule="exact"/>
      <w:ind w:firstLine="340"/>
      <w:jc w:val="both"/>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uiPriority w:val="10"/>
    <w:qFormat/>
    <w:rsid w:val="00AF291B"/>
    <w:pPr>
      <w:keepNext/>
      <w:keepLines/>
      <w:suppressAutoHyphens/>
      <w:spacing w:after="240"/>
      <w:ind w:firstLine="0"/>
      <w:jc w:val="left"/>
    </w:pPr>
    <w:rPr>
      <w:rFonts w:cs="Arial"/>
      <w:b/>
      <w:bCs/>
      <w:kern w:val="28"/>
      <w:sz w:val="28"/>
      <w:szCs w:val="32"/>
    </w:rPr>
  </w:style>
  <w:style w:type="character" w:customStyle="1" w:styleId="TitelZchn">
    <w:name w:val="Titel Zchn"/>
    <w:basedOn w:val="Absatz-Standardschriftart"/>
    <w:link w:val="Titel"/>
    <w:uiPriority w:val="10"/>
    <w:rsid w:val="00AF291B"/>
    <w:rPr>
      <w:rFonts w:ascii="Times New Roman" w:hAnsi="Times New Roman" w:cs="Arial"/>
      <w:b/>
      <w:bCs/>
      <w:kern w:val="28"/>
      <w:sz w:val="28"/>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942357">
      <w:bodyDiv w:val="1"/>
      <w:marLeft w:val="0"/>
      <w:marRight w:val="0"/>
      <w:marTop w:val="0"/>
      <w:marBottom w:val="0"/>
      <w:divBdr>
        <w:top w:val="none" w:sz="0" w:space="0" w:color="auto"/>
        <w:left w:val="none" w:sz="0" w:space="0" w:color="auto"/>
        <w:bottom w:val="none" w:sz="0" w:space="0" w:color="auto"/>
        <w:right w:val="none" w:sz="0" w:space="0" w:color="auto"/>
      </w:divBdr>
    </w:div>
    <w:div w:id="94997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2281</Characters>
  <Application>Microsoft Office Word</Application>
  <DocSecurity>0</DocSecurity>
  <Lines>19</Lines>
  <Paragraphs>5</Paragraphs>
  <ScaleCrop>false</ScaleCrop>
  <Company>Uni Tuebingen</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Klöckner</dc:creator>
  <cp:keywords/>
  <dc:description/>
  <cp:lastModifiedBy>Thomas Klöckner</cp:lastModifiedBy>
  <cp:revision>1</cp:revision>
  <dcterms:created xsi:type="dcterms:W3CDTF">2023-05-22T07:21:00Z</dcterms:created>
  <dcterms:modified xsi:type="dcterms:W3CDTF">2023-05-22T07:24:00Z</dcterms:modified>
</cp:coreProperties>
</file>